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357B9D">
        <w:rPr>
          <w:rStyle w:val="af9"/>
          <w:rFonts w:ascii="Arial" w:eastAsia="宋体" w:hAnsi="Arial" w:cs="Arial" w:hint="eastAsia"/>
        </w:rPr>
        <w:t>5</w:t>
      </w:r>
      <w:r w:rsidR="006A5F85">
        <w:rPr>
          <w:rStyle w:val="af9"/>
          <w:rFonts w:ascii="Arial" w:eastAsia="宋体" w:hAnsi="Arial" w:cs="Arial" w:hint="eastAsia"/>
        </w:rPr>
        <w:t>-e</w:t>
      </w:r>
      <w:r w:rsidRPr="00EA74C3">
        <w:rPr>
          <w:rStyle w:val="af9"/>
          <w:rFonts w:ascii="Arial" w:eastAsia="宋体" w:hAnsi="Arial" w:cs="Arial" w:hint="eastAsia"/>
        </w:rPr>
        <w:tab/>
      </w:r>
      <w:r w:rsidR="00F166D9" w:rsidRPr="00F166D9">
        <w:rPr>
          <w:rStyle w:val="af9"/>
          <w:rFonts w:ascii="Arial" w:eastAsia="宋体" w:hAnsi="Arial" w:cs="Arial"/>
        </w:rPr>
        <w:t>R4-</w:t>
      </w:r>
      <w:r w:rsidR="006A5F85">
        <w:rPr>
          <w:rStyle w:val="af9"/>
          <w:rFonts w:ascii="Arial" w:eastAsia="宋体" w:hAnsi="Arial" w:cs="Arial" w:hint="eastAsia"/>
        </w:rPr>
        <w:t>20</w:t>
      </w:r>
      <w:r w:rsidR="00962D49">
        <w:rPr>
          <w:rStyle w:val="af9"/>
          <w:rFonts w:ascii="Arial" w:eastAsia="宋体" w:hAnsi="Arial" w:cs="Arial" w:hint="eastAsia"/>
        </w:rPr>
        <w:t>06248</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357B9D" w:rsidRPr="00357B9D">
        <w:rPr>
          <w:rStyle w:val="af9"/>
          <w:rFonts w:ascii="Arial" w:eastAsia="宋体" w:hAnsi="Arial" w:cs="Arial"/>
        </w:rPr>
        <w:t>25 May – 5 June,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62D49" w:rsidRPr="00962D49">
        <w:rPr>
          <w:rFonts w:ascii="Arial" w:hAnsi="Arial" w:cs="Arial"/>
          <w:b w:val="0"/>
        </w:rPr>
        <w:t>Discussion on switching period in ITS band for NR V2X</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A5F85">
        <w:rPr>
          <w:rFonts w:ascii="Arial" w:hAnsi="Arial" w:cs="Arial" w:hint="eastAsia"/>
          <w:b w:val="0"/>
        </w:rPr>
        <w:t>6</w:t>
      </w:r>
      <w:r w:rsidR="00632958">
        <w:rPr>
          <w:rFonts w:ascii="Arial" w:hAnsi="Arial" w:cs="Arial" w:hint="eastAsia"/>
          <w:b w:val="0"/>
        </w:rPr>
        <w:t>.</w:t>
      </w:r>
      <w:r w:rsidR="00E516D9">
        <w:rPr>
          <w:rFonts w:ascii="Arial" w:hAnsi="Arial" w:cs="Arial" w:hint="eastAsia"/>
          <w:b w:val="0"/>
        </w:rPr>
        <w:t>4</w:t>
      </w:r>
      <w:r w:rsidR="00F166D9">
        <w:rPr>
          <w:rFonts w:ascii="Arial" w:hAnsi="Arial" w:cs="Arial" w:hint="eastAsia"/>
          <w:b w:val="0"/>
        </w:rPr>
        <w:t>.</w:t>
      </w:r>
      <w:r w:rsidR="00962D49">
        <w:rPr>
          <w:rFonts w:ascii="Arial" w:hAnsi="Arial" w:cs="Arial" w:hint="eastAsia"/>
          <w:b w:val="0"/>
        </w:rPr>
        <w:t>3.</w:t>
      </w:r>
      <w:r w:rsidR="00E516D9">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516D9" w:rsidRDefault="00F72403" w:rsidP="00976E0B">
      <w:pPr>
        <w:spacing w:before="0" w:after="120"/>
        <w:jc w:val="left"/>
        <w:rPr>
          <w:sz w:val="20"/>
        </w:rPr>
      </w:pPr>
      <w:r>
        <w:rPr>
          <w:sz w:val="20"/>
        </w:rPr>
        <w:t>I</w:t>
      </w:r>
      <w:r w:rsidR="00357B9D">
        <w:rPr>
          <w:rFonts w:hint="eastAsia"/>
          <w:sz w:val="20"/>
        </w:rPr>
        <w:t xml:space="preserve">n last RAN4 meeting, </w:t>
      </w:r>
      <w:r w:rsidR="00E516D9">
        <w:rPr>
          <w:rFonts w:hint="eastAsia"/>
          <w:sz w:val="20"/>
        </w:rPr>
        <w:t>a</w:t>
      </w:r>
      <w:r w:rsidR="00357B9D">
        <w:rPr>
          <w:rFonts w:hint="eastAsia"/>
          <w:sz w:val="20"/>
        </w:rPr>
        <w:t xml:space="preserve"> way forward </w:t>
      </w:r>
      <w:r w:rsidR="00357B9D" w:rsidRPr="00357B9D">
        <w:rPr>
          <w:sz w:val="20"/>
        </w:rPr>
        <w:t>on</w:t>
      </w:r>
      <w:r w:rsidR="008F63B6" w:rsidRPr="008F63B6">
        <w:t xml:space="preserve"> </w:t>
      </w:r>
      <w:r w:rsidR="008F63B6" w:rsidRPr="008F63B6">
        <w:rPr>
          <w:sz w:val="20"/>
        </w:rPr>
        <w:t>switching period in ITS band for NR V2X</w:t>
      </w:r>
      <w:r w:rsidR="00357B9D" w:rsidRPr="00357B9D">
        <w:rPr>
          <w:rFonts w:hint="eastAsia"/>
          <w:sz w:val="20"/>
        </w:rPr>
        <w:t xml:space="preserve"> </w:t>
      </w:r>
      <w:r w:rsidR="00E418AA">
        <w:rPr>
          <w:rFonts w:hint="eastAsia"/>
          <w:sz w:val="20"/>
        </w:rPr>
        <w:t xml:space="preserve">was approved [1]. </w:t>
      </w:r>
      <w:r w:rsidR="008F63B6">
        <w:rPr>
          <w:rFonts w:hint="eastAsia"/>
          <w:sz w:val="20"/>
        </w:rPr>
        <w:t>The m</w:t>
      </w:r>
      <w:r w:rsidR="008F63B6" w:rsidRPr="008F63B6">
        <w:rPr>
          <w:sz w:val="20"/>
        </w:rPr>
        <w:t xml:space="preserve">ajority view </w:t>
      </w:r>
      <w:r w:rsidR="008F63B6">
        <w:rPr>
          <w:rFonts w:hint="eastAsia"/>
          <w:sz w:val="20"/>
        </w:rPr>
        <w:t xml:space="preserve">for </w:t>
      </w:r>
      <w:r w:rsidR="008F63B6" w:rsidRPr="008F63B6">
        <w:rPr>
          <w:sz w:val="20"/>
        </w:rPr>
        <w:t>Switching period</w:t>
      </w:r>
      <w:r w:rsidR="008F63B6" w:rsidRPr="008F63B6">
        <w:t xml:space="preserve"> </w:t>
      </w:r>
      <w:r w:rsidR="008F63B6" w:rsidRPr="008F63B6">
        <w:rPr>
          <w:sz w:val="20"/>
        </w:rPr>
        <w:t>for intra-band switching</w:t>
      </w:r>
      <w:r w:rsidR="008F63B6">
        <w:rPr>
          <w:rFonts w:hint="eastAsia"/>
          <w:sz w:val="20"/>
        </w:rPr>
        <w:t xml:space="preserve"> will be 150</w:t>
      </w:r>
      <w:r w:rsidR="008F63B6">
        <w:rPr>
          <w:sz w:val="20"/>
        </w:rPr>
        <w:t>µ</w:t>
      </w:r>
      <w:r w:rsidR="008F63B6">
        <w:rPr>
          <w:rFonts w:hint="eastAsia"/>
          <w:sz w:val="20"/>
        </w:rPr>
        <w:t>s (</w:t>
      </w:r>
      <w:r w:rsidR="008F63B6" w:rsidRPr="008F63B6">
        <w:rPr>
          <w:sz w:val="20"/>
        </w:rPr>
        <w:t>in square brackets</w:t>
      </w:r>
      <w:r w:rsidR="003E496C">
        <w:rPr>
          <w:rFonts w:hint="eastAsia"/>
          <w:sz w:val="20"/>
        </w:rPr>
        <w:t xml:space="preserve"> in CR</w:t>
      </w:r>
      <w:r w:rsidR="008F63B6">
        <w:rPr>
          <w:rFonts w:hint="eastAsia"/>
          <w:sz w:val="20"/>
        </w:rPr>
        <w:t xml:space="preserve">). </w:t>
      </w:r>
      <w:r w:rsidR="008F63B6">
        <w:rPr>
          <w:sz w:val="20"/>
        </w:rPr>
        <w:t>T</w:t>
      </w:r>
      <w:r w:rsidR="008F63B6">
        <w:rPr>
          <w:rFonts w:hint="eastAsia"/>
          <w:sz w:val="20"/>
        </w:rPr>
        <w:t>he s</w:t>
      </w:r>
      <w:r w:rsidR="008F63B6" w:rsidRPr="008F63B6">
        <w:rPr>
          <w:sz w:val="20"/>
        </w:rPr>
        <w:t>witching period position</w:t>
      </w:r>
      <w:r w:rsidR="008F63B6">
        <w:rPr>
          <w:rFonts w:hint="eastAsia"/>
          <w:sz w:val="20"/>
        </w:rPr>
        <w:t xml:space="preserve"> has not </w:t>
      </w:r>
      <w:r w:rsidR="003827BD">
        <w:rPr>
          <w:rFonts w:hint="eastAsia"/>
          <w:sz w:val="20"/>
        </w:rPr>
        <w:t>achieved</w:t>
      </w:r>
      <w:r w:rsidR="008F63B6">
        <w:rPr>
          <w:rFonts w:hint="eastAsia"/>
          <w:sz w:val="20"/>
        </w:rPr>
        <w:t xml:space="preserve"> consensus, </w:t>
      </w:r>
      <w:r w:rsidR="003827BD">
        <w:rPr>
          <w:rFonts w:hint="eastAsia"/>
          <w:sz w:val="20"/>
        </w:rPr>
        <w:t xml:space="preserve">needing further discussion </w:t>
      </w:r>
      <w:r w:rsidR="008F63B6">
        <w:rPr>
          <w:rFonts w:hint="eastAsia"/>
          <w:sz w:val="20"/>
        </w:rPr>
        <w:t xml:space="preserve">in this meeting. </w:t>
      </w:r>
      <w:r w:rsidR="008F63B6">
        <w:rPr>
          <w:sz w:val="20"/>
        </w:rPr>
        <w:t>T</w:t>
      </w:r>
      <w:r w:rsidR="008F63B6">
        <w:rPr>
          <w:rFonts w:hint="eastAsia"/>
          <w:sz w:val="20"/>
        </w:rPr>
        <w:t>he majority view for i</w:t>
      </w:r>
      <w:r w:rsidR="008F63B6" w:rsidRPr="008F63B6">
        <w:rPr>
          <w:sz w:val="20"/>
        </w:rPr>
        <w:t>nterruption time</w:t>
      </w:r>
      <w:r w:rsidR="008F63B6">
        <w:rPr>
          <w:rFonts w:hint="eastAsia"/>
          <w:sz w:val="20"/>
        </w:rPr>
        <w:t xml:space="preserve"> during switching is n</w:t>
      </w:r>
      <w:r w:rsidR="008F63B6" w:rsidRPr="008F63B6">
        <w:rPr>
          <w:sz w:val="20"/>
        </w:rPr>
        <w:t>o interruption time</w:t>
      </w:r>
      <w:r w:rsidR="008F63B6">
        <w:rPr>
          <w:rFonts w:hint="eastAsia"/>
          <w:sz w:val="20"/>
        </w:rPr>
        <w:t xml:space="preserve"> and </w:t>
      </w:r>
      <w:r w:rsidR="00641863">
        <w:rPr>
          <w:rFonts w:hint="eastAsia"/>
          <w:sz w:val="20"/>
        </w:rPr>
        <w:t xml:space="preserve">it </w:t>
      </w:r>
      <w:r w:rsidR="008F63B6">
        <w:rPr>
          <w:rFonts w:hint="eastAsia"/>
          <w:sz w:val="20"/>
        </w:rPr>
        <w:t>will</w:t>
      </w:r>
      <w:bookmarkStart w:id="1" w:name="_GoBack"/>
      <w:r w:rsidR="008F63B6">
        <w:rPr>
          <w:rFonts w:hint="eastAsia"/>
          <w:sz w:val="20"/>
        </w:rPr>
        <w:t xml:space="preserve"> discuss further in R</w:t>
      </w:r>
      <w:bookmarkEnd w:id="1"/>
      <w:r w:rsidR="008F63B6">
        <w:rPr>
          <w:rFonts w:hint="eastAsia"/>
          <w:sz w:val="20"/>
        </w:rPr>
        <w:t>RM session.</w:t>
      </w:r>
    </w:p>
    <w:p w:rsidR="00E01C69" w:rsidRPr="00E01C69" w:rsidRDefault="00E443BB" w:rsidP="00976E0B">
      <w:pPr>
        <w:spacing w:before="0" w:after="120"/>
        <w:jc w:val="left"/>
        <w:rPr>
          <w:sz w:val="20"/>
        </w:rPr>
      </w:pPr>
      <w:r>
        <w:rPr>
          <w:sz w:val="20"/>
        </w:rPr>
        <w:t>T</w:t>
      </w:r>
      <w:r>
        <w:rPr>
          <w:rFonts w:hint="eastAsia"/>
          <w:sz w:val="20"/>
        </w:rPr>
        <w:t xml:space="preserve">his document will </w:t>
      </w:r>
      <w:r w:rsidR="00292D36">
        <w:rPr>
          <w:rFonts w:hint="eastAsia"/>
          <w:sz w:val="20"/>
        </w:rPr>
        <w:t xml:space="preserve">further </w:t>
      </w:r>
      <w:r>
        <w:rPr>
          <w:rFonts w:hint="eastAsia"/>
          <w:sz w:val="20"/>
        </w:rPr>
        <w:t>discuss these open issues, and give our proposals.</w:t>
      </w:r>
      <w:r w:rsidR="00E01C69">
        <w:rPr>
          <w:rFonts w:hint="eastAsia"/>
          <w:sz w:val="20"/>
        </w:rPr>
        <w:t xml:space="preserve"> </w:t>
      </w:r>
    </w:p>
    <w:p w:rsidR="00F166D9" w:rsidRPr="00E516D9"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443BB" w:rsidRPr="00F66732" w:rsidRDefault="00D73D97" w:rsidP="00F66732">
      <w:pPr>
        <w:spacing w:before="0" w:after="120"/>
        <w:jc w:val="left"/>
        <w:rPr>
          <w:sz w:val="20"/>
        </w:rPr>
      </w:pPr>
      <w:r w:rsidRPr="00F66732">
        <w:rPr>
          <w:rFonts w:hint="eastAsia"/>
          <w:sz w:val="20"/>
        </w:rPr>
        <w:t xml:space="preserve">In the last meeting, the switching </w:t>
      </w:r>
      <w:r w:rsidRPr="00F66732">
        <w:rPr>
          <w:sz w:val="20"/>
        </w:rPr>
        <w:t>period</w:t>
      </w:r>
      <w:r w:rsidRPr="00F66732">
        <w:rPr>
          <w:rFonts w:hint="eastAsia"/>
          <w:sz w:val="20"/>
        </w:rPr>
        <w:t xml:space="preserve"> for intra band was discussed. </w:t>
      </w:r>
      <w:r w:rsidRPr="00F66732">
        <w:rPr>
          <w:sz w:val="20"/>
        </w:rPr>
        <w:t>W</w:t>
      </w:r>
      <w:r w:rsidRPr="00F66732">
        <w:rPr>
          <w:rFonts w:hint="eastAsia"/>
          <w:sz w:val="20"/>
        </w:rPr>
        <w:t xml:space="preserve">e think </w:t>
      </w:r>
      <w:r>
        <w:rPr>
          <w:rFonts w:hint="eastAsia"/>
          <w:sz w:val="20"/>
        </w:rPr>
        <w:t>150</w:t>
      </w:r>
      <w:r>
        <w:rPr>
          <w:sz w:val="20"/>
        </w:rPr>
        <w:t>µ</w:t>
      </w:r>
      <w:r>
        <w:rPr>
          <w:rFonts w:hint="eastAsia"/>
          <w:sz w:val="20"/>
        </w:rPr>
        <w:t>s is suitable.</w:t>
      </w:r>
    </w:p>
    <w:p w:rsidR="00E443BB" w:rsidRDefault="00D73D97" w:rsidP="00F66732">
      <w:pPr>
        <w:spacing w:before="0" w:after="120"/>
        <w:jc w:val="left"/>
        <w:rPr>
          <w:sz w:val="20"/>
        </w:rPr>
      </w:pPr>
      <w:r w:rsidRPr="00F66732">
        <w:rPr>
          <w:sz w:val="20"/>
        </w:rPr>
        <w:t>F</w:t>
      </w:r>
      <w:r w:rsidRPr="00F66732">
        <w:rPr>
          <w:rFonts w:hint="eastAsia"/>
          <w:sz w:val="20"/>
        </w:rPr>
        <w:t xml:space="preserve">or the </w:t>
      </w:r>
      <w:r>
        <w:rPr>
          <w:rFonts w:hint="eastAsia"/>
          <w:sz w:val="20"/>
        </w:rPr>
        <w:t>s</w:t>
      </w:r>
      <w:r w:rsidRPr="008F63B6">
        <w:rPr>
          <w:sz w:val="20"/>
        </w:rPr>
        <w:t>witching period position</w:t>
      </w:r>
      <w:r>
        <w:rPr>
          <w:rFonts w:hint="eastAsia"/>
          <w:sz w:val="20"/>
        </w:rPr>
        <w:t xml:space="preserve">, we present in last meeting that it is suitable </w:t>
      </w:r>
      <w:r w:rsidR="00B128A6">
        <w:rPr>
          <w:rFonts w:hint="eastAsia"/>
          <w:sz w:val="20"/>
        </w:rPr>
        <w:t xml:space="preserve">to be </w:t>
      </w:r>
      <w:r>
        <w:rPr>
          <w:rFonts w:hint="eastAsia"/>
          <w:sz w:val="20"/>
        </w:rPr>
        <w:t xml:space="preserve">located at </w:t>
      </w:r>
      <w:r w:rsidR="00B128A6">
        <w:rPr>
          <w:rFonts w:hint="eastAsia"/>
          <w:sz w:val="20"/>
        </w:rPr>
        <w:t xml:space="preserve">the </w:t>
      </w:r>
      <w:r>
        <w:rPr>
          <w:rFonts w:hint="eastAsia"/>
          <w:sz w:val="20"/>
        </w:rPr>
        <w:t xml:space="preserve">low priority RAT. </w:t>
      </w:r>
      <w:r>
        <w:rPr>
          <w:sz w:val="20"/>
        </w:rPr>
        <w:t>I</w:t>
      </w:r>
      <w:r>
        <w:rPr>
          <w:rFonts w:hint="eastAsia"/>
          <w:sz w:val="20"/>
        </w:rPr>
        <w:t xml:space="preserve">n the </w:t>
      </w:r>
      <w:r>
        <w:rPr>
          <w:sz w:val="20"/>
        </w:rPr>
        <w:t>background</w:t>
      </w:r>
      <w:r w:rsidR="00B128A6">
        <w:rPr>
          <w:rFonts w:hint="eastAsia"/>
          <w:sz w:val="20"/>
        </w:rPr>
        <w:t xml:space="preserve"> part</w:t>
      </w:r>
      <w:r>
        <w:rPr>
          <w:rFonts w:hint="eastAsia"/>
          <w:sz w:val="20"/>
        </w:rPr>
        <w:t xml:space="preserve"> of WF, it has reached consensus that </w:t>
      </w:r>
      <w:r w:rsidRPr="00D73D97">
        <w:rPr>
          <w:sz w:val="20"/>
        </w:rPr>
        <w:t>LTE V2X shall support the basic safety service</w:t>
      </w:r>
      <w:r>
        <w:rPr>
          <w:rFonts w:hint="eastAsia"/>
          <w:sz w:val="20"/>
        </w:rPr>
        <w:t xml:space="preserve">, </w:t>
      </w:r>
      <w:r w:rsidR="007A4BFF">
        <w:rPr>
          <w:rFonts w:hint="eastAsia"/>
          <w:sz w:val="20"/>
        </w:rPr>
        <w:t xml:space="preserve">shown as </w:t>
      </w:r>
      <w:r>
        <w:rPr>
          <w:rFonts w:hint="eastAsia"/>
          <w:sz w:val="20"/>
        </w:rPr>
        <w:t>following:</w:t>
      </w:r>
    </w:p>
    <w:p w:rsidR="00D73D97" w:rsidRDefault="00D73D97" w:rsidP="006D1B68">
      <w:pPr>
        <w:snapToGrid w:val="0"/>
        <w:spacing w:before="0" w:after="0"/>
        <w:rPr>
          <w:sz w:val="20"/>
        </w:rPr>
      </w:pPr>
      <w:r w:rsidRPr="005A77CE">
        <w:rPr>
          <w:noProof/>
          <w:sz w:val="20"/>
          <w:szCs w:val="20"/>
          <w:lang w:val="en-US"/>
        </w:rPr>
        <mc:AlternateContent>
          <mc:Choice Requires="wps">
            <w:drawing>
              <wp:inline distT="0" distB="0" distL="0" distR="0" wp14:anchorId="66D56714" wp14:editId="23E050FF">
                <wp:extent cx="6120765" cy="1028065"/>
                <wp:effectExtent l="38100" t="38100" r="108585" b="1149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806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D73D97" w:rsidRPr="00730C4A" w:rsidRDefault="00D73D97" w:rsidP="00D73D97">
                            <w:pPr>
                              <w:numPr>
                                <w:ilvl w:val="0"/>
                                <w:numId w:val="41"/>
                              </w:numPr>
                              <w:tabs>
                                <w:tab w:val="clear" w:pos="720"/>
                                <w:tab w:val="num" w:pos="300"/>
                              </w:tabs>
                              <w:snapToGrid w:val="0"/>
                              <w:spacing w:before="40" w:after="40"/>
                              <w:ind w:leftChars="-29" w:left="299"/>
                              <w:rPr>
                                <w:sz w:val="20"/>
                                <w:szCs w:val="20"/>
                                <w:lang w:val="en-US"/>
                              </w:rPr>
                            </w:pPr>
                            <w:r w:rsidRPr="00D73D97">
                              <w:rPr>
                                <w:sz w:val="20"/>
                                <w:szCs w:val="20"/>
                              </w:rPr>
                              <w:t>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cannot support basic safety use cases. It is clearly up to the regional regulators and the stakeholders involved (i.e. Car OEMs and automotive ecosystem in general) to decide on the technology of choice for any service and any use case.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">
                <v:shadow on="t" color="black" opacity="26214f" origin="-.5,-.5" offset=".74836mm,.74836mm"/>
                <v:textbox style="mso-fit-shape-to-text:t">
                  <w:txbxContent>
                    <w:p w:rsidR="00D73D97" w:rsidRPr="00730C4A" w:rsidRDefault="00D73D97" w:rsidP="00D73D97">
                      <w:pPr>
                        <w:numPr>
                          <w:ilvl w:val="0"/>
                          <w:numId w:val="41"/>
                        </w:numPr>
                        <w:tabs>
                          <w:tab w:val="clear" w:pos="720"/>
                          <w:tab w:val="num" w:pos="300"/>
                        </w:tabs>
                        <w:snapToGrid w:val="0"/>
                        <w:spacing w:before="40" w:after="40"/>
                        <w:ind w:leftChars="-29" w:left="299"/>
                        <w:rPr>
                          <w:sz w:val="20"/>
                          <w:szCs w:val="20"/>
                          <w:lang w:val="en-US"/>
                        </w:rPr>
                      </w:pPr>
                      <w:r w:rsidRPr="00D73D97">
                        <w:rPr>
                          <w:sz w:val="20"/>
                          <w:szCs w:val="20"/>
                        </w:rPr>
                        <w:t>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cannot support basic safety use cases. It is clearly up to the regional regulators and the stakeholders involved (i.e. Car OEMs and automotive ecosystem in general) to decide on the technology of choice for any service and any use case.</w:t>
                      </w:r>
                    </w:p>
                  </w:txbxContent>
                </v:textbox>
                <w10:anchorlock/>
              </v:shape>
            </w:pict>
          </mc:Fallback>
        </mc:AlternateContent>
      </w:r>
    </w:p>
    <w:p w:rsidR="0022787B" w:rsidRPr="00F66732" w:rsidRDefault="00D73D97" w:rsidP="00F66732">
      <w:pPr>
        <w:spacing w:before="0" w:after="120"/>
        <w:jc w:val="left"/>
        <w:rPr>
          <w:sz w:val="20"/>
        </w:rPr>
      </w:pPr>
      <w:r w:rsidRPr="00F66732">
        <w:rPr>
          <w:sz w:val="20"/>
        </w:rPr>
        <w:t>S</w:t>
      </w:r>
      <w:r w:rsidRPr="00F66732">
        <w:rPr>
          <w:rFonts w:hint="eastAsia"/>
          <w:sz w:val="20"/>
        </w:rPr>
        <w:t xml:space="preserve">o </w:t>
      </w:r>
      <w:r w:rsidR="0022787B" w:rsidRPr="00F66732">
        <w:rPr>
          <w:rFonts w:hint="eastAsia"/>
          <w:sz w:val="20"/>
        </w:rPr>
        <w:t>b</w:t>
      </w:r>
      <w:r w:rsidR="006D1B68" w:rsidRPr="00F66732">
        <w:rPr>
          <w:rFonts w:hint="eastAsia"/>
          <w:sz w:val="20"/>
        </w:rPr>
        <w:t xml:space="preserve">y our understanding, </w:t>
      </w:r>
      <w:r w:rsidR="0022787B" w:rsidRPr="00F66732">
        <w:rPr>
          <w:rFonts w:hint="eastAsia"/>
          <w:sz w:val="20"/>
        </w:rPr>
        <w:t>if the switching between</w:t>
      </w:r>
      <w:r w:rsidRPr="00F66732">
        <w:rPr>
          <w:rFonts w:hint="eastAsia"/>
          <w:sz w:val="20"/>
        </w:rPr>
        <w:t xml:space="preserve"> LTE V2X</w:t>
      </w:r>
      <w:r w:rsidR="0022787B" w:rsidRPr="00F66732">
        <w:rPr>
          <w:rFonts w:hint="eastAsia"/>
          <w:sz w:val="20"/>
        </w:rPr>
        <w:t xml:space="preserve"> and NR V2X with TDM mode is need</w:t>
      </w:r>
      <w:r w:rsidR="00A039F3">
        <w:rPr>
          <w:rFonts w:hint="eastAsia"/>
          <w:sz w:val="20"/>
        </w:rPr>
        <w:t>ed</w:t>
      </w:r>
      <w:r w:rsidR="0022787B" w:rsidRPr="00F66732">
        <w:rPr>
          <w:rFonts w:hint="eastAsia"/>
          <w:sz w:val="20"/>
        </w:rPr>
        <w:t>, LTE V2X shall support the basic safety service</w:t>
      </w:r>
      <w:r w:rsidR="00A039F3">
        <w:rPr>
          <w:rFonts w:hint="eastAsia"/>
          <w:sz w:val="20"/>
        </w:rPr>
        <w:t>,</w:t>
      </w:r>
      <w:r w:rsidR="0022787B" w:rsidRPr="00F66732">
        <w:rPr>
          <w:rFonts w:hint="eastAsia"/>
          <w:sz w:val="20"/>
        </w:rPr>
        <w:t xml:space="preserve"> and NR V2X shall complement LTE V2X for advanced V2X service and support interworking with LTE V2X. LTE V2X will be higher priority RAT. </w:t>
      </w:r>
      <w:r w:rsidR="0022787B" w:rsidRPr="00F66732">
        <w:rPr>
          <w:sz w:val="20"/>
        </w:rPr>
        <w:t>T</w:t>
      </w:r>
      <w:r w:rsidR="0022787B" w:rsidRPr="00F66732">
        <w:rPr>
          <w:rFonts w:hint="eastAsia"/>
          <w:sz w:val="20"/>
        </w:rPr>
        <w:t xml:space="preserve">he switching period should be located at NR V2X </w:t>
      </w:r>
      <w:r w:rsidR="00F66732" w:rsidRPr="00F66732">
        <w:rPr>
          <w:rFonts w:hint="eastAsia"/>
          <w:sz w:val="20"/>
        </w:rPr>
        <w:t>slot.</w:t>
      </w:r>
    </w:p>
    <w:p w:rsidR="00E443BB" w:rsidRPr="00F66732" w:rsidRDefault="0022787B" w:rsidP="00F66732">
      <w:pPr>
        <w:spacing w:before="0" w:after="120"/>
        <w:jc w:val="left"/>
        <w:rPr>
          <w:sz w:val="20"/>
        </w:rPr>
      </w:pPr>
      <w:r w:rsidRPr="00F66732">
        <w:rPr>
          <w:rFonts w:hint="eastAsia"/>
          <w:sz w:val="20"/>
        </w:rPr>
        <w:t>If NR V2X</w:t>
      </w:r>
      <w:r w:rsidR="00F66732">
        <w:rPr>
          <w:rFonts w:hint="eastAsia"/>
          <w:sz w:val="20"/>
        </w:rPr>
        <w:t xml:space="preserve"> UE</w:t>
      </w:r>
      <w:r w:rsidRPr="00F66732">
        <w:rPr>
          <w:rFonts w:hint="eastAsia"/>
          <w:sz w:val="20"/>
        </w:rPr>
        <w:t xml:space="preserve"> supports basic safety service and advanced V2X service in some regional, LTE V2X should not be necessary to </w:t>
      </w:r>
      <w:r w:rsidR="00F66732">
        <w:rPr>
          <w:rFonts w:hint="eastAsia"/>
          <w:sz w:val="20"/>
        </w:rPr>
        <w:t xml:space="preserve">be </w:t>
      </w:r>
      <w:r w:rsidRPr="00F66732">
        <w:rPr>
          <w:rFonts w:hint="eastAsia"/>
          <w:sz w:val="20"/>
        </w:rPr>
        <w:t>support</w:t>
      </w:r>
      <w:r w:rsidR="00F66732">
        <w:rPr>
          <w:rFonts w:hint="eastAsia"/>
          <w:sz w:val="20"/>
        </w:rPr>
        <w:t>ed</w:t>
      </w:r>
      <w:r w:rsidRPr="00F66732">
        <w:rPr>
          <w:rFonts w:hint="eastAsia"/>
          <w:sz w:val="20"/>
        </w:rPr>
        <w:t xml:space="preserve"> by same V2X UE with TDM mode. </w:t>
      </w:r>
      <w:r w:rsidRPr="00F66732">
        <w:rPr>
          <w:sz w:val="20"/>
        </w:rPr>
        <w:t>D</w:t>
      </w:r>
      <w:r w:rsidRPr="00F66732">
        <w:rPr>
          <w:rFonts w:hint="eastAsia"/>
          <w:sz w:val="20"/>
        </w:rPr>
        <w:t xml:space="preserve">efining this switching period requirement </w:t>
      </w:r>
      <w:r w:rsidR="00233C69">
        <w:rPr>
          <w:rFonts w:hint="eastAsia"/>
          <w:sz w:val="20"/>
        </w:rPr>
        <w:t>is</w:t>
      </w:r>
      <w:r w:rsidRPr="00F66732">
        <w:rPr>
          <w:rFonts w:hint="eastAsia"/>
          <w:sz w:val="20"/>
        </w:rPr>
        <w:t xml:space="preserve"> not necessary.</w:t>
      </w:r>
    </w:p>
    <w:p w:rsidR="0022787B" w:rsidRPr="00F66732" w:rsidRDefault="00F66732" w:rsidP="00F66732">
      <w:pPr>
        <w:spacing w:before="0" w:after="120"/>
        <w:jc w:val="left"/>
        <w:rPr>
          <w:sz w:val="20"/>
        </w:rPr>
      </w:pPr>
      <w:r w:rsidRPr="00F66732">
        <w:rPr>
          <w:sz w:val="20"/>
        </w:rPr>
        <w:t>B</w:t>
      </w:r>
      <w:r w:rsidRPr="00F66732">
        <w:rPr>
          <w:rFonts w:hint="eastAsia"/>
          <w:sz w:val="20"/>
        </w:rPr>
        <w:t xml:space="preserve">ased on </w:t>
      </w:r>
      <w:r>
        <w:rPr>
          <w:rFonts w:hint="eastAsia"/>
          <w:sz w:val="20"/>
        </w:rPr>
        <w:t>above consideration, we give following proposals:</w:t>
      </w:r>
    </w:p>
    <w:p w:rsidR="00730C4A" w:rsidRPr="00730C4A" w:rsidRDefault="00F66732" w:rsidP="00BA2496">
      <w:pPr>
        <w:rPr>
          <w:b/>
          <w:sz w:val="20"/>
          <w:szCs w:val="20"/>
          <w:lang w:val="en-US"/>
        </w:rPr>
      </w:pPr>
      <w:r>
        <w:rPr>
          <w:rFonts w:hint="eastAsia"/>
          <w:b/>
          <w:sz w:val="20"/>
          <w:szCs w:val="20"/>
        </w:rPr>
        <w:t xml:space="preserve">Proposal </w:t>
      </w:r>
      <w:r w:rsidR="00730C4A" w:rsidRPr="00730C4A">
        <w:rPr>
          <w:rFonts w:hint="eastAsia"/>
          <w:b/>
          <w:sz w:val="20"/>
          <w:szCs w:val="20"/>
          <w:lang w:val="en-US"/>
        </w:rPr>
        <w:t>1:</w:t>
      </w:r>
      <w:r w:rsidRPr="00F66732">
        <w:t xml:space="preserve"> </w:t>
      </w:r>
      <w:r w:rsidRPr="00F66732">
        <w:rPr>
          <w:b/>
          <w:sz w:val="20"/>
          <w:szCs w:val="20"/>
          <w:lang w:val="en-US"/>
        </w:rPr>
        <w:t xml:space="preserve">Switching period for </w:t>
      </w:r>
      <w:r>
        <w:rPr>
          <w:rFonts w:hint="eastAsia"/>
          <w:b/>
          <w:sz w:val="20"/>
          <w:szCs w:val="20"/>
          <w:lang w:val="en-US"/>
        </w:rPr>
        <w:t xml:space="preserve">LTE V2X and NR with V2X TDM mode operation in </w:t>
      </w:r>
      <w:r w:rsidRPr="00F66732">
        <w:rPr>
          <w:b/>
          <w:sz w:val="20"/>
          <w:szCs w:val="20"/>
          <w:lang w:val="en-US"/>
        </w:rPr>
        <w:t>intra-band switching will be 150µs</w:t>
      </w:r>
      <w:r w:rsidR="00730C4A" w:rsidRPr="00730C4A">
        <w:rPr>
          <w:rFonts w:hint="eastAsia"/>
          <w:b/>
          <w:sz w:val="20"/>
          <w:szCs w:val="20"/>
          <w:lang w:val="en-US"/>
        </w:rPr>
        <w:t>.</w:t>
      </w:r>
    </w:p>
    <w:p w:rsidR="00F66732" w:rsidRPr="00730C4A" w:rsidRDefault="00F66732" w:rsidP="00F66732">
      <w:pPr>
        <w:rPr>
          <w:b/>
          <w:sz w:val="20"/>
          <w:szCs w:val="20"/>
          <w:lang w:val="en-US"/>
        </w:rPr>
      </w:pPr>
      <w:r>
        <w:rPr>
          <w:rFonts w:hint="eastAsia"/>
          <w:b/>
          <w:sz w:val="20"/>
          <w:szCs w:val="20"/>
        </w:rPr>
        <w:t>Proposal 2</w:t>
      </w:r>
      <w:r w:rsidRPr="00730C4A">
        <w:rPr>
          <w:rFonts w:hint="eastAsia"/>
          <w:b/>
          <w:sz w:val="20"/>
          <w:szCs w:val="20"/>
          <w:lang w:val="en-US"/>
        </w:rPr>
        <w:t>:</w:t>
      </w:r>
      <w:r w:rsidRPr="00F66732">
        <w:rPr>
          <w:b/>
          <w:sz w:val="20"/>
          <w:szCs w:val="20"/>
          <w:lang w:val="en-US"/>
        </w:rPr>
        <w:t xml:space="preserve"> Switching period is placed at the NR slot</w:t>
      </w:r>
      <w:r w:rsidRPr="00730C4A">
        <w:rPr>
          <w:rFonts w:hint="eastAsia"/>
          <w:b/>
          <w:sz w:val="20"/>
          <w:szCs w:val="20"/>
          <w:lang w:val="en-US"/>
        </w:rPr>
        <w:t>.</w:t>
      </w:r>
    </w:p>
    <w:p w:rsidR="00730C4A" w:rsidRPr="00F66732" w:rsidRDefault="00730C4A" w:rsidP="00730C4A">
      <w:pPr>
        <w:rPr>
          <w:sz w:val="20"/>
          <w:szCs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paper </w:t>
      </w:r>
      <w:r w:rsidR="00233C69">
        <w:rPr>
          <w:rFonts w:hint="eastAsia"/>
          <w:sz w:val="20"/>
          <w:lang w:val="en-US"/>
        </w:rPr>
        <w:t xml:space="preserve">further </w:t>
      </w:r>
      <w:r w:rsidR="00F6142A">
        <w:rPr>
          <w:rFonts w:hint="eastAsia"/>
          <w:sz w:val="20"/>
          <w:lang w:val="en-US"/>
        </w:rPr>
        <w:t>discuss</w:t>
      </w:r>
      <w:r w:rsidR="00766B54">
        <w:rPr>
          <w:rFonts w:hint="eastAsia"/>
          <w:sz w:val="20"/>
          <w:lang w:val="en-US"/>
        </w:rPr>
        <w:t xml:space="preserve">ed </w:t>
      </w:r>
      <w:r w:rsidR="007D3A47">
        <w:rPr>
          <w:rFonts w:hint="eastAsia"/>
          <w:sz w:val="20"/>
          <w:lang w:val="en-US"/>
        </w:rPr>
        <w:t xml:space="preserve">the </w:t>
      </w:r>
      <w:r w:rsidR="00F66732">
        <w:rPr>
          <w:rFonts w:hint="eastAsia"/>
          <w:sz w:val="20"/>
          <w:lang w:val="en-US"/>
        </w:rPr>
        <w:t>s</w:t>
      </w:r>
      <w:r w:rsidR="00F66732" w:rsidRPr="00F66732">
        <w:rPr>
          <w:sz w:val="20"/>
          <w:lang w:val="en-US"/>
        </w:rPr>
        <w:t xml:space="preserve">witching period for LTE V2X and NR V2X </w:t>
      </w:r>
      <w:r w:rsidR="00F66732">
        <w:rPr>
          <w:rFonts w:hint="eastAsia"/>
          <w:sz w:val="20"/>
          <w:lang w:val="en-US"/>
        </w:rPr>
        <w:t xml:space="preserve">with </w:t>
      </w:r>
      <w:r w:rsidR="00F66732" w:rsidRPr="00F66732">
        <w:rPr>
          <w:sz w:val="20"/>
          <w:lang w:val="en-US"/>
        </w:rPr>
        <w:t>TDM mode operation in intra-band switching</w:t>
      </w:r>
      <w:r w:rsidR="007D3A47">
        <w:rPr>
          <w:rFonts w:hint="eastAsia"/>
          <w:sz w:val="20"/>
          <w:lang w:val="en-US"/>
        </w:rPr>
        <w:t>,</w:t>
      </w:r>
      <w:r w:rsidR="00766B54">
        <w:rPr>
          <w:rFonts w:hint="eastAsia"/>
          <w:sz w:val="20"/>
          <w:lang w:val="en-US"/>
        </w:rPr>
        <w:t xml:space="preserve"> and </w:t>
      </w:r>
      <w:r w:rsidR="007D3A47">
        <w:rPr>
          <w:rFonts w:hint="eastAsia"/>
          <w:sz w:val="20"/>
          <w:lang w:val="en-US"/>
        </w:rPr>
        <w:t>g</w:t>
      </w:r>
      <w:r w:rsidR="00F6142A">
        <w:rPr>
          <w:rFonts w:hint="eastAsia"/>
          <w:sz w:val="20"/>
          <w:lang w:val="en-US"/>
        </w:rPr>
        <w:t xml:space="preserve">ave the following </w:t>
      </w:r>
      <w:r w:rsidR="00233C69">
        <w:rPr>
          <w:rFonts w:hint="eastAsia"/>
          <w:sz w:val="20"/>
          <w:lang w:val="en-US"/>
        </w:rPr>
        <w:t>proposals</w:t>
      </w:r>
      <w:r w:rsidR="00032156">
        <w:rPr>
          <w:rFonts w:hint="eastAsia"/>
          <w:sz w:val="20"/>
          <w:lang w:val="en-US"/>
        </w:rPr>
        <w:t>:</w:t>
      </w:r>
    </w:p>
    <w:p w:rsidR="00F66732" w:rsidRPr="00730C4A" w:rsidRDefault="00F66732" w:rsidP="00F66732">
      <w:pPr>
        <w:rPr>
          <w:b/>
          <w:sz w:val="20"/>
          <w:szCs w:val="20"/>
          <w:lang w:val="en-US"/>
        </w:rPr>
      </w:pPr>
      <w:r>
        <w:rPr>
          <w:rFonts w:hint="eastAsia"/>
          <w:b/>
          <w:sz w:val="20"/>
          <w:szCs w:val="20"/>
        </w:rPr>
        <w:lastRenderedPageBreak/>
        <w:t xml:space="preserve">Proposal </w:t>
      </w:r>
      <w:r w:rsidRPr="00730C4A">
        <w:rPr>
          <w:rFonts w:hint="eastAsia"/>
          <w:b/>
          <w:sz w:val="20"/>
          <w:szCs w:val="20"/>
          <w:lang w:val="en-US"/>
        </w:rPr>
        <w:t>1:</w:t>
      </w:r>
      <w:r w:rsidRPr="00F66732">
        <w:t xml:space="preserve"> </w:t>
      </w:r>
      <w:r w:rsidRPr="00F66732">
        <w:rPr>
          <w:b/>
          <w:sz w:val="20"/>
          <w:szCs w:val="20"/>
          <w:lang w:val="en-US"/>
        </w:rPr>
        <w:t xml:space="preserve">Switching period for </w:t>
      </w:r>
      <w:r>
        <w:rPr>
          <w:rFonts w:hint="eastAsia"/>
          <w:b/>
          <w:sz w:val="20"/>
          <w:szCs w:val="20"/>
          <w:lang w:val="en-US"/>
        </w:rPr>
        <w:t xml:space="preserve">LTE V2X and NR with V2X TDM mode operation in </w:t>
      </w:r>
      <w:r w:rsidRPr="00F66732">
        <w:rPr>
          <w:b/>
          <w:sz w:val="20"/>
          <w:szCs w:val="20"/>
          <w:lang w:val="en-US"/>
        </w:rPr>
        <w:t>intra-band switching will be 150µs</w:t>
      </w:r>
      <w:r w:rsidRPr="00730C4A">
        <w:rPr>
          <w:rFonts w:hint="eastAsia"/>
          <w:b/>
          <w:sz w:val="20"/>
          <w:szCs w:val="20"/>
          <w:lang w:val="en-US"/>
        </w:rPr>
        <w:t>.</w:t>
      </w:r>
    </w:p>
    <w:p w:rsidR="00F66732" w:rsidRPr="00730C4A" w:rsidRDefault="00F66732" w:rsidP="00F66732">
      <w:pPr>
        <w:rPr>
          <w:b/>
          <w:sz w:val="20"/>
          <w:szCs w:val="20"/>
          <w:lang w:val="en-US"/>
        </w:rPr>
      </w:pPr>
      <w:r>
        <w:rPr>
          <w:rFonts w:hint="eastAsia"/>
          <w:b/>
          <w:sz w:val="20"/>
          <w:szCs w:val="20"/>
        </w:rPr>
        <w:t>Proposal 2</w:t>
      </w:r>
      <w:r w:rsidRPr="00730C4A">
        <w:rPr>
          <w:rFonts w:hint="eastAsia"/>
          <w:b/>
          <w:sz w:val="20"/>
          <w:szCs w:val="20"/>
          <w:lang w:val="en-US"/>
        </w:rPr>
        <w:t>:</w:t>
      </w:r>
      <w:r w:rsidRPr="00F66732">
        <w:rPr>
          <w:b/>
          <w:sz w:val="20"/>
          <w:szCs w:val="20"/>
          <w:lang w:val="en-US"/>
        </w:rPr>
        <w:t xml:space="preserve"> Switching period is placed at the NR slot</w:t>
      </w:r>
      <w:r w:rsidRPr="00730C4A">
        <w:rPr>
          <w:rFonts w:hint="eastAsia"/>
          <w:b/>
          <w:sz w:val="20"/>
          <w:szCs w:val="20"/>
          <w:lang w:val="en-US"/>
        </w:rPr>
        <w:t>.</w:t>
      </w:r>
    </w:p>
    <w:p w:rsidR="00E345EC" w:rsidRPr="007D3A47" w:rsidRDefault="00E345EC" w:rsidP="00E345EC">
      <w:pPr>
        <w:spacing w:before="0" w:after="120"/>
        <w:jc w:val="left"/>
        <w:rPr>
          <w:sz w:val="20"/>
          <w:szCs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8F63B6" w:rsidRPr="008F63B6">
        <w:rPr>
          <w:sz w:val="20"/>
        </w:rPr>
        <w:t>R4-2005644, WF on switching period in ITS band for NR V2X, Huawei</w:t>
      </w:r>
    </w:p>
    <w:p w:rsidR="008F63B6" w:rsidRDefault="008F63B6" w:rsidP="002E4536">
      <w:pPr>
        <w:pStyle w:val="ab"/>
        <w:ind w:left="540" w:hangingChars="270" w:hanging="540"/>
        <w:rPr>
          <w:sz w:val="20"/>
        </w:rPr>
      </w:pPr>
    </w:p>
    <w:sectPr w:rsidR="008F63B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489" w:rsidRDefault="002B7489" w:rsidP="0095591C">
      <w:pPr>
        <w:spacing w:after="60"/>
        <w:ind w:left="210"/>
      </w:pPr>
      <w:r>
        <w:separator/>
      </w:r>
    </w:p>
  </w:endnote>
  <w:endnote w:type="continuationSeparator" w:id="0">
    <w:p w:rsidR="002B7489" w:rsidRDefault="002B748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46E6C">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489" w:rsidRDefault="002B7489" w:rsidP="0095591C">
      <w:pPr>
        <w:spacing w:after="60"/>
        <w:ind w:left="210"/>
      </w:pPr>
      <w:r>
        <w:separator/>
      </w:r>
    </w:p>
  </w:footnote>
  <w:footnote w:type="continuationSeparator" w:id="0">
    <w:p w:rsidR="002B7489" w:rsidRDefault="002B748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7DAA"/>
    <w:multiLevelType w:val="hybridMultilevel"/>
    <w:tmpl w:val="FA5AF456"/>
    <w:lvl w:ilvl="0" w:tplc="5456D4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C8B900">
      <w:numFmt w:val="bullet"/>
      <w:lvlText w:val="-"/>
      <w:lvlJc w:val="left"/>
      <w:pPr>
        <w:ind w:left="2520" w:hanging="168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AF33679"/>
    <w:multiLevelType w:val="hybridMultilevel"/>
    <w:tmpl w:val="F4B464C6"/>
    <w:lvl w:ilvl="0" w:tplc="592ED678">
      <w:start w:val="1"/>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7">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2">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3">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9">
    <w:nsid w:val="629B1B17"/>
    <w:multiLevelType w:val="hybridMultilevel"/>
    <w:tmpl w:val="E884C468"/>
    <w:lvl w:ilvl="0" w:tplc="592ED678">
      <w:start w:val="1"/>
      <w:numFmt w:val="bullet"/>
      <w:lvlText w:val="•"/>
      <w:lvlJc w:val="left"/>
      <w:pPr>
        <w:tabs>
          <w:tab w:val="num" w:pos="720"/>
        </w:tabs>
        <w:ind w:left="720" w:hanging="360"/>
      </w:pPr>
      <w:rPr>
        <w:rFonts w:ascii="Arial" w:hAnsi="Arial" w:hint="default"/>
      </w:rPr>
    </w:lvl>
    <w:lvl w:ilvl="1" w:tplc="9E0CDBC8">
      <w:start w:val="1695"/>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30">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4">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nsid w:val="76927E15"/>
    <w:multiLevelType w:val="hybridMultilevel"/>
    <w:tmpl w:val="9160AB6E"/>
    <w:lvl w:ilvl="0" w:tplc="9E0CDBC8">
      <w:start w:val="169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BF6517B"/>
    <w:multiLevelType w:val="hybridMultilevel"/>
    <w:tmpl w:val="396A11AA"/>
    <w:lvl w:ilvl="0" w:tplc="1122C1C6">
      <w:start w:val="1"/>
      <w:numFmt w:val="bullet"/>
      <w:lvlText w:val="•"/>
      <w:lvlJc w:val="left"/>
      <w:pPr>
        <w:tabs>
          <w:tab w:val="num" w:pos="720"/>
        </w:tabs>
        <w:ind w:left="720" w:hanging="360"/>
      </w:pPr>
      <w:rPr>
        <w:rFonts w:ascii="Arial" w:hAnsi="Arial" w:hint="default"/>
      </w:rPr>
    </w:lvl>
    <w:lvl w:ilvl="1" w:tplc="56F6B730">
      <w:start w:val="1513"/>
      <w:numFmt w:val="bullet"/>
      <w:lvlText w:val="•"/>
      <w:lvlJc w:val="left"/>
      <w:pPr>
        <w:tabs>
          <w:tab w:val="num" w:pos="1440"/>
        </w:tabs>
        <w:ind w:left="1440" w:hanging="360"/>
      </w:pPr>
      <w:rPr>
        <w:rFonts w:ascii="Arial" w:hAnsi="Arial" w:hint="default"/>
      </w:rPr>
    </w:lvl>
    <w:lvl w:ilvl="2" w:tplc="1BDE95A2" w:tentative="1">
      <w:start w:val="1"/>
      <w:numFmt w:val="bullet"/>
      <w:lvlText w:val="•"/>
      <w:lvlJc w:val="left"/>
      <w:pPr>
        <w:tabs>
          <w:tab w:val="num" w:pos="2160"/>
        </w:tabs>
        <w:ind w:left="2160" w:hanging="360"/>
      </w:pPr>
      <w:rPr>
        <w:rFonts w:ascii="Arial" w:hAnsi="Arial" w:hint="default"/>
      </w:rPr>
    </w:lvl>
    <w:lvl w:ilvl="3" w:tplc="DB7CCE12" w:tentative="1">
      <w:start w:val="1"/>
      <w:numFmt w:val="bullet"/>
      <w:lvlText w:val="•"/>
      <w:lvlJc w:val="left"/>
      <w:pPr>
        <w:tabs>
          <w:tab w:val="num" w:pos="2880"/>
        </w:tabs>
        <w:ind w:left="2880" w:hanging="360"/>
      </w:pPr>
      <w:rPr>
        <w:rFonts w:ascii="Arial" w:hAnsi="Arial" w:hint="default"/>
      </w:rPr>
    </w:lvl>
    <w:lvl w:ilvl="4" w:tplc="106C3B72" w:tentative="1">
      <w:start w:val="1"/>
      <w:numFmt w:val="bullet"/>
      <w:lvlText w:val="•"/>
      <w:lvlJc w:val="left"/>
      <w:pPr>
        <w:tabs>
          <w:tab w:val="num" w:pos="3600"/>
        </w:tabs>
        <w:ind w:left="3600" w:hanging="360"/>
      </w:pPr>
      <w:rPr>
        <w:rFonts w:ascii="Arial" w:hAnsi="Arial" w:hint="default"/>
      </w:rPr>
    </w:lvl>
    <w:lvl w:ilvl="5" w:tplc="E15C26D2" w:tentative="1">
      <w:start w:val="1"/>
      <w:numFmt w:val="bullet"/>
      <w:lvlText w:val="•"/>
      <w:lvlJc w:val="left"/>
      <w:pPr>
        <w:tabs>
          <w:tab w:val="num" w:pos="4320"/>
        </w:tabs>
        <w:ind w:left="4320" w:hanging="360"/>
      </w:pPr>
      <w:rPr>
        <w:rFonts w:ascii="Arial" w:hAnsi="Arial" w:hint="default"/>
      </w:rPr>
    </w:lvl>
    <w:lvl w:ilvl="6" w:tplc="CEB20506" w:tentative="1">
      <w:start w:val="1"/>
      <w:numFmt w:val="bullet"/>
      <w:lvlText w:val="•"/>
      <w:lvlJc w:val="left"/>
      <w:pPr>
        <w:tabs>
          <w:tab w:val="num" w:pos="5040"/>
        </w:tabs>
        <w:ind w:left="5040" w:hanging="360"/>
      </w:pPr>
      <w:rPr>
        <w:rFonts w:ascii="Arial" w:hAnsi="Arial" w:hint="default"/>
      </w:rPr>
    </w:lvl>
    <w:lvl w:ilvl="7" w:tplc="29A296E0" w:tentative="1">
      <w:start w:val="1"/>
      <w:numFmt w:val="bullet"/>
      <w:lvlText w:val="•"/>
      <w:lvlJc w:val="left"/>
      <w:pPr>
        <w:tabs>
          <w:tab w:val="num" w:pos="5760"/>
        </w:tabs>
        <w:ind w:left="5760" w:hanging="360"/>
      </w:pPr>
      <w:rPr>
        <w:rFonts w:ascii="Arial" w:hAnsi="Arial" w:hint="default"/>
      </w:rPr>
    </w:lvl>
    <w:lvl w:ilvl="8" w:tplc="9A821822" w:tentative="1">
      <w:start w:val="1"/>
      <w:numFmt w:val="bullet"/>
      <w:lvlText w:val="•"/>
      <w:lvlJc w:val="left"/>
      <w:pPr>
        <w:tabs>
          <w:tab w:val="num" w:pos="6480"/>
        </w:tabs>
        <w:ind w:left="6480" w:hanging="360"/>
      </w:pPr>
      <w:rPr>
        <w:rFonts w:ascii="Arial" w:hAnsi="Arial" w:hint="default"/>
      </w:rPr>
    </w:lvl>
  </w:abstractNum>
  <w:abstractNum w:abstractNumId="42">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3">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9"/>
  </w:num>
  <w:num w:numId="3">
    <w:abstractNumId w:val="5"/>
  </w:num>
  <w:num w:numId="4">
    <w:abstractNumId w:val="24"/>
  </w:num>
  <w:num w:numId="5">
    <w:abstractNumId w:val="15"/>
  </w:num>
  <w:num w:numId="6">
    <w:abstractNumId w:val="37"/>
  </w:num>
  <w:num w:numId="7">
    <w:abstractNumId w:val="8"/>
  </w:num>
  <w:num w:numId="8">
    <w:abstractNumId w:val="26"/>
  </w:num>
  <w:num w:numId="9">
    <w:abstractNumId w:val="18"/>
  </w:num>
  <w:num w:numId="10">
    <w:abstractNumId w:val="32"/>
  </w:num>
  <w:num w:numId="11">
    <w:abstractNumId w:val="38"/>
  </w:num>
  <w:num w:numId="12">
    <w:abstractNumId w:val="40"/>
  </w:num>
  <w:num w:numId="13">
    <w:abstractNumId w:val="19"/>
  </w:num>
  <w:num w:numId="14">
    <w:abstractNumId w:val="20"/>
  </w:num>
  <w:num w:numId="15">
    <w:abstractNumId w:val="17"/>
  </w:num>
  <w:num w:numId="16">
    <w:abstractNumId w:val="31"/>
  </w:num>
  <w:num w:numId="17">
    <w:abstractNumId w:val="0"/>
  </w:num>
  <w:num w:numId="18">
    <w:abstractNumId w:val="36"/>
  </w:num>
  <w:num w:numId="19">
    <w:abstractNumId w:val="43"/>
  </w:num>
  <w:num w:numId="20">
    <w:abstractNumId w:val="21"/>
  </w:num>
  <w:num w:numId="21">
    <w:abstractNumId w:val="33"/>
  </w:num>
  <w:num w:numId="22">
    <w:abstractNumId w:val="42"/>
  </w:num>
  <w:num w:numId="23">
    <w:abstractNumId w:val="3"/>
  </w:num>
  <w:num w:numId="24">
    <w:abstractNumId w:val="14"/>
  </w:num>
  <w:num w:numId="25">
    <w:abstractNumId w:val="28"/>
  </w:num>
  <w:num w:numId="26">
    <w:abstractNumId w:val="10"/>
  </w:num>
  <w:num w:numId="27">
    <w:abstractNumId w:val="2"/>
  </w:num>
  <w:num w:numId="28">
    <w:abstractNumId w:val="34"/>
  </w:num>
  <w:num w:numId="29">
    <w:abstractNumId w:val="23"/>
  </w:num>
  <w:num w:numId="30">
    <w:abstractNumId w:val="7"/>
  </w:num>
  <w:num w:numId="31">
    <w:abstractNumId w:val="13"/>
  </w:num>
  <w:num w:numId="32">
    <w:abstractNumId w:val="11"/>
  </w:num>
  <w:num w:numId="33">
    <w:abstractNumId w:val="39"/>
  </w:num>
  <w:num w:numId="34">
    <w:abstractNumId w:val="25"/>
  </w:num>
  <w:num w:numId="35">
    <w:abstractNumId w:val="4"/>
  </w:num>
  <w:num w:numId="36">
    <w:abstractNumId w:val="12"/>
  </w:num>
  <w:num w:numId="37">
    <w:abstractNumId w:val="30"/>
  </w:num>
  <w:num w:numId="38">
    <w:abstractNumId w:val="22"/>
  </w:num>
  <w:num w:numId="39">
    <w:abstractNumId w:val="16"/>
  </w:num>
  <w:num w:numId="40">
    <w:abstractNumId w:val="1"/>
  </w:num>
  <w:num w:numId="41">
    <w:abstractNumId w:val="6"/>
  </w:num>
  <w:num w:numId="42">
    <w:abstractNumId w:val="29"/>
  </w:num>
  <w:num w:numId="43">
    <w:abstractNumId w:val="41"/>
  </w:num>
  <w:num w:numId="44">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7CE"/>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28A6"/>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39169-6949-4AAE-9524-268FF0B90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1882</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26</cp:revision>
  <cp:lastPrinted>2007-04-24T00:59:00Z</cp:lastPrinted>
  <dcterms:created xsi:type="dcterms:W3CDTF">2020-04-09T06:55:00Z</dcterms:created>
  <dcterms:modified xsi:type="dcterms:W3CDTF">2020-05-15T14:12:00Z</dcterms:modified>
</cp:coreProperties>
</file>